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_rels/document.xml.rels" ContentType="application/vnd.openxmlformats-package.relationship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>
          <w:rFonts w:hint="eastAsia"/>
        </w:rPr>
      </w:pPr>
      <w:r>
        <w:rPr>
          <w:rFonts w:ascii="Corbel" w:hAnsi="Corbel"/>
          <w:i/>
          <w:iCs/>
          <w:sz w:val="20"/>
          <w:szCs w:val="20"/>
        </w:rPr>
        <w:t xml:space="preserve">         </w:t>
      </w:r>
      <w:r>
        <w:rPr>
          <w:rFonts w:ascii="Corbel" w:hAnsi="Corbel"/>
          <w:i/>
          <w:iCs/>
          <w:sz w:val="20"/>
          <w:szCs w:val="20"/>
        </w:rPr>
        <w:t>Załącznik nr 1.5 do Zarządzenia Rektora UR nr 61/2025</w:t>
      </w:r>
    </w:p>
    <w:p>
      <w:pPr>
        <w:pStyle w:val="Standard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</w:r>
    </w:p>
    <w:p>
      <w:pPr>
        <w:pStyle w:val="Standard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</w:r>
    </w:p>
    <w:p>
      <w:pPr>
        <w:pStyle w:val="Standard"/>
        <w:jc w:val="center"/>
        <w:rPr>
          <w:rFonts w:hint="eastAsia"/>
        </w:rPr>
      </w:pPr>
      <w:r>
        <w:rPr>
          <w:rFonts w:ascii="Corbel" w:hAnsi="Corbel"/>
          <w:b/>
          <w:smallCaps/>
        </w:rPr>
        <w:t>SYLABUS</w:t>
      </w:r>
    </w:p>
    <w:p>
      <w:pPr>
        <w:pStyle w:val="Standard"/>
        <w:spacing w:lineRule="exact" w:line="240"/>
        <w:jc w:val="center"/>
        <w:rPr>
          <w:rFonts w:hint="eastAsia"/>
        </w:rPr>
      </w:pPr>
      <w:r>
        <w:rPr>
          <w:rFonts w:ascii="Corbel" w:hAnsi="Corbel"/>
          <w:b/>
          <w:bCs/>
          <w:smallCaps/>
        </w:rPr>
        <w:t>dotyczy cyklu kształcenia 2026- 2031</w:t>
      </w:r>
    </w:p>
    <w:p>
      <w:pPr>
        <w:pStyle w:val="Standard"/>
        <w:spacing w:lineRule="exact" w:line="240"/>
        <w:jc w:val="both"/>
        <w:rPr>
          <w:rFonts w:hint="eastAsia"/>
        </w:rPr>
      </w:pPr>
      <w:r>
        <w:rPr>
          <w:rFonts w:ascii="Corbel" w:hAnsi="Corbel"/>
        </w:rPr>
        <w:tab/>
        <w:tab/>
        <w:tab/>
        <w:tab/>
        <w:t>Rok akademicki   2029/2030</w:t>
      </w:r>
    </w:p>
    <w:p>
      <w:pPr>
        <w:pStyle w:val="Standard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Punktygwne"/>
        <w:spacing w:before="0" w:after="0"/>
        <w:rPr/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start"/>
        <w:tblInd w:w="-2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679"/>
        <w:gridCol w:w="7102"/>
      </w:tblGrid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="0" w:after="0"/>
              <w:jc w:val="start"/>
              <w:rPr/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="0" w:after="0"/>
              <w:rPr/>
            </w:pPr>
            <w:r>
              <w:rPr>
                <w:rFonts w:ascii="Corbel" w:hAnsi="Corbel"/>
                <w:sz w:val="24"/>
                <w:szCs w:val="24"/>
              </w:rPr>
              <w:t>Metodologia badań jakościowych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="0" w:after="0"/>
              <w:jc w:val="start"/>
              <w:rPr/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="0" w:after="280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nie dotyczy</w:t>
            </w:r>
          </w:p>
          <w:p>
            <w:pPr>
              <w:pStyle w:val="Odpowiedzi"/>
              <w:spacing w:before="280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lineRule="exact" w:line="240" w:before="0" w:after="0"/>
              <w:jc w:val="start"/>
              <w:rPr/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andard"/>
              <w:spacing w:before="0" w:after="280"/>
              <w:rPr>
                <w:rFonts w:ascii="Corbel" w:hAnsi="Corbel" w:eastAsia="Corbel" w:cs="Corbel"/>
                <w:color w:val="000000"/>
              </w:rPr>
            </w:pPr>
            <w:r>
              <w:rPr>
                <w:rFonts w:eastAsia="Corbel" w:cs="Corbel" w:ascii="Corbel" w:hAnsi="Corbel"/>
                <w:color w:val="000000"/>
              </w:rPr>
              <w:t>Wydział Pedagogiki i Filozofii</w:t>
            </w:r>
          </w:p>
          <w:p>
            <w:pPr>
              <w:pStyle w:val="Odpowiedzi"/>
              <w:spacing w:before="280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="0" w:after="0"/>
              <w:jc w:val="start"/>
              <w:rPr/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="0" w:after="0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="0" w:after="0"/>
              <w:jc w:val="start"/>
              <w:rPr/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="0" w:after="0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="0" w:after="0"/>
              <w:jc w:val="start"/>
              <w:rPr/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="0" w:after="0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="0" w:after="0"/>
              <w:jc w:val="start"/>
              <w:rPr/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="0" w:after="0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="0" w:after="0"/>
              <w:jc w:val="start"/>
              <w:rPr/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="0" w:after="0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ni</w:t>
            </w:r>
            <w:r>
              <w:rPr>
                <w:rFonts w:ascii="Corbel" w:hAnsi="Corbel"/>
                <w:b w:val="false"/>
                <w:sz w:val="24"/>
                <w:szCs w:val="24"/>
              </w:rPr>
              <w:t>estacjonarne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="0" w:after="0"/>
              <w:jc w:val="start"/>
              <w:rPr/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="0" w:after="0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IV rok, 7 semestr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="0" w:after="0"/>
              <w:jc w:val="start"/>
              <w:rPr/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="0" w:after="0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K. Metodologia badań naukowych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="0" w:after="0"/>
              <w:jc w:val="start"/>
              <w:rPr/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="0" w:after="0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="0" w:after="0"/>
              <w:jc w:val="start"/>
              <w:rPr/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="0" w:after="0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dr hab. Ryszard Pęczkowski, prof. UR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="0" w:after="0"/>
              <w:jc w:val="start"/>
              <w:rPr/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="0" w:after="0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dr Anna Śniegulska</w:t>
            </w:r>
          </w:p>
        </w:tc>
      </w:tr>
    </w:tbl>
    <w:p>
      <w:pPr>
        <w:pStyle w:val="Podpunkty"/>
        <w:ind w:start="0"/>
        <w:rPr/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start="284"/>
        <w:rPr/>
      </w:pPr>
      <w:r>
        <w:rPr>
          <w:rFonts w:ascii="Corbel" w:hAnsi="Corbel"/>
          <w:sz w:val="24"/>
          <w:szCs w:val="24"/>
        </w:rPr>
        <w:t>1.1.Formy zajęć dydaktycznych, wymiar godzin i punktów ECTS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062" w:type="dxa"/>
        <w:jc w:val="start"/>
        <w:tblInd w:w="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043"/>
        <w:gridCol w:w="869"/>
        <w:gridCol w:w="715"/>
        <w:gridCol w:w="860"/>
        <w:gridCol w:w="744"/>
        <w:gridCol w:w="792"/>
        <w:gridCol w:w="665"/>
        <w:gridCol w:w="898"/>
        <w:gridCol w:w="1196"/>
        <w:gridCol w:w="1280"/>
      </w:tblGrid>
      <w:tr>
        <w:trPr/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/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/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/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/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/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/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/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/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/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/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2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/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/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kitablic"/>
              <w:spacing w:lineRule="auto" w:line="240" w:before="0" w:after="120"/>
              <w:jc w:val="center"/>
              <w:rPr/>
            </w:pPr>
            <w:r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8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/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/>
            </w:pPr>
            <w:r>
              <w:rPr/>
            </w:r>
          </w:p>
        </w:tc>
        <w:tc>
          <w:tcPr>
            <w:tcW w:w="8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/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color w:val="BF0041"/>
                <w:szCs w:val="24"/>
              </w:rPr>
            </w:pPr>
            <w:r>
              <w:rPr>
                <w:rFonts w:ascii="Corbel" w:hAnsi="Corbel"/>
                <w:color w:val="BF0041"/>
                <w:szCs w:val="24"/>
              </w:rPr>
            </w:r>
          </w:p>
        </w:tc>
        <w:tc>
          <w:tcPr>
            <w:tcW w:w="7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</w:r>
          </w:p>
        </w:tc>
        <w:tc>
          <w:tcPr>
            <w:tcW w:w="6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</w:r>
          </w:p>
        </w:tc>
        <w:tc>
          <w:tcPr>
            <w:tcW w:w="8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</w:r>
          </w:p>
        </w:tc>
        <w:tc>
          <w:tcPr>
            <w:tcW w:w="11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</w:r>
          </w:p>
        </w:tc>
        <w:tc>
          <w:tcPr>
            <w:tcW w:w="12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/>
            </w:pPr>
            <w:r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>
      <w:pPr>
        <w:pStyle w:val="Podpunkty"/>
        <w:ind w:start="0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9"/>
          <w:tab w:val="left" w:pos="993" w:leader="none"/>
        </w:tabs>
        <w:spacing w:before="0" w:after="0"/>
        <w:ind w:start="284"/>
        <w:rPr/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</w:t>
      </w:r>
    </w:p>
    <w:p>
      <w:pPr>
        <w:pStyle w:val="Punktygwne"/>
        <w:spacing w:before="0" w:after="0"/>
        <w:ind w:start="709"/>
        <w:rPr/>
      </w:pPr>
      <w:r>
        <w:rPr>
          <w:rFonts w:ascii="Corbel" w:hAnsi="Corbel"/>
          <w:bCs/>
          <w:szCs w:val="24"/>
          <w:u w:val="single"/>
        </w:rPr>
        <w:t xml:space="preserve">X </w:t>
      </w:r>
      <w:r>
        <w:rPr>
          <w:rFonts w:ascii="Corbel" w:hAnsi="Corbel"/>
          <w:bCs/>
          <w:caps w:val="false"/>
          <w:smallCaps w:val="false"/>
          <w:szCs w:val="24"/>
          <w:u w:val="single"/>
        </w:rPr>
        <w:t>zajęcia w formie tradycyjnej</w:t>
      </w:r>
    </w:p>
    <w:p>
      <w:pPr>
        <w:pStyle w:val="Punktygwne"/>
        <w:spacing w:before="0" w:after="0"/>
        <w:ind w:start="709"/>
        <w:rPr/>
      </w:pP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bCs/>
          <w:caps w:val="false"/>
          <w:smallCaps w:val="false"/>
          <w:szCs w:val="24"/>
          <w:u w:val="single"/>
        </w:rPr>
      </w:pPr>
      <w:r>
        <w:rPr>
          <w:rFonts w:ascii="Corbel" w:hAnsi="Corbel"/>
          <w:bCs/>
          <w:caps w:val="false"/>
          <w:smallCaps w:val="false"/>
          <w:szCs w:val="24"/>
          <w:u w:val="single"/>
        </w:rPr>
      </w:r>
    </w:p>
    <w:p>
      <w:pPr>
        <w:pStyle w:val="Punktygwne"/>
        <w:tabs>
          <w:tab w:val="clear" w:pos="709"/>
          <w:tab w:val="left" w:pos="1418" w:leader="none"/>
        </w:tabs>
        <w:spacing w:before="0" w:after="0"/>
        <w:ind w:hanging="425" w:start="709"/>
        <w:rPr/>
      </w:pPr>
      <w:r>
        <w:rPr>
          <w:rFonts w:ascii="Corbel" w:hAnsi="Corbel"/>
          <w:caps w:val="false"/>
          <w:smallCaps w:val="false"/>
          <w:szCs w:val="24"/>
        </w:rPr>
        <w:t xml:space="preserve">1.3 </w:t>
        <w:tab/>
        <w:t>Forma zaliczenia przedmiotu  (z toku)</w:t>
      </w:r>
    </w:p>
    <w:p>
      <w:pPr>
        <w:pStyle w:val="Standard"/>
        <w:numPr>
          <w:ilvl w:val="0"/>
          <w:numId w:val="4"/>
        </w:numPr>
        <w:rPr>
          <w:rFonts w:hint="eastAsia"/>
        </w:rPr>
      </w:pPr>
      <w:r>
        <w:rPr>
          <w:rFonts w:ascii="Corbel" w:hAnsi="Corbel"/>
        </w:rPr>
        <w:t>wykład zaliczenie - bez oceny</w:t>
        <w:tab/>
      </w:r>
    </w:p>
    <w:p>
      <w:pPr>
        <w:pStyle w:val="Standard"/>
        <w:numPr>
          <w:ilvl w:val="0"/>
          <w:numId w:val="4"/>
        </w:numPr>
        <w:rPr>
          <w:rFonts w:hint="eastAsia"/>
        </w:rPr>
      </w:pPr>
      <w:r>
        <w:rPr>
          <w:rFonts w:ascii="Corbel" w:hAnsi="Corbel"/>
        </w:rPr>
        <w:t>konwersatorium - zaliczenie z oceną</w:t>
      </w:r>
    </w:p>
    <w:p>
      <w:pPr>
        <w:pStyle w:val="Standard"/>
        <w:numPr>
          <w:ilvl w:val="0"/>
          <w:numId w:val="4"/>
        </w:numPr>
        <w:rPr>
          <w:rFonts w:hint="eastAsia"/>
        </w:rPr>
      </w:pPr>
      <w:r>
        <w:rPr>
          <w:rFonts w:ascii="Corbel" w:hAnsi="Corbel"/>
        </w:rPr>
        <w:t>całość przedmiotu - egzamin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/>
      </w:pPr>
      <w:r>
        <w:rPr>
          <w:rFonts w:ascii="Corbel" w:hAnsi="Corbel"/>
          <w:szCs w:val="24"/>
        </w:rPr>
        <w:t>2.Wymagania wstępne</w:t>
      </w:r>
    </w:p>
    <w:tbl>
      <w:tblPr>
        <w:tblW w:w="8954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tabs>
                <w:tab w:val="clear" w:pos="709"/>
                <w:tab w:val="left" w:pos="2040" w:leader="none"/>
              </w:tabs>
              <w:spacing w:before="40" w:after="4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Zaliczone kursy wynikające z toku studiów</w:t>
            </w:r>
          </w:p>
        </w:tc>
      </w:tr>
    </w:tbl>
    <w:p>
      <w:pPr>
        <w:pStyle w:val="Punktygwne"/>
        <w:spacing w:before="0" w:after="0"/>
        <w:rPr/>
      </w:pPr>
      <w:r>
        <w:rPr>
          <w:rFonts w:ascii="Corbel" w:hAnsi="Corbel"/>
        </w:rPr>
        <w:t>3. cele, efekty uczenia się 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/>
      </w:pPr>
      <w:r>
        <w:rPr>
          <w:rFonts w:ascii="Corbel" w:hAnsi="Corbel"/>
          <w:sz w:val="24"/>
          <w:szCs w:val="24"/>
        </w:rPr>
        <w:t>3.1 Cele przedmiotu</w:t>
      </w:r>
    </w:p>
    <w:p>
      <w:pPr>
        <w:pStyle w:val="Podpunkty"/>
        <w:rPr>
          <w:rFonts w:ascii="Corbel" w:hAnsi="Corbel"/>
          <w:b w:val="false"/>
          <w:i/>
          <w:i/>
          <w:sz w:val="24"/>
          <w:szCs w:val="24"/>
        </w:rPr>
      </w:pPr>
      <w:r>
        <w:rPr>
          <w:rFonts w:ascii="Corbel" w:hAnsi="Corbel"/>
          <w:b w:val="false"/>
          <w:i/>
          <w:sz w:val="24"/>
          <w:szCs w:val="24"/>
        </w:rPr>
      </w:r>
    </w:p>
    <w:tbl>
      <w:tblPr>
        <w:tblW w:w="10065" w:type="dxa"/>
        <w:jc w:val="start"/>
        <w:tblInd w:w="-147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06"/>
        <w:gridCol w:w="9359"/>
      </w:tblGrid>
      <w:tr>
        <w:trPr/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9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Celem zajęć jest zdobycie przez studentów umiejętności projektowania, realizacji i analizy wyników badań jakościowych: wywiadów pogłębionych i grupowych oraz obserwacji.</w:t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odpunkty"/>
              <w:ind w:start="0"/>
              <w:jc w:val="start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C2</w:t>
            </w:r>
          </w:p>
        </w:tc>
        <w:tc>
          <w:tcPr>
            <w:tcW w:w="9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Studenci zapoznają się z podstawami teoretycznymi wybranych metod i technik badań jakościowych, jak i zaprojektują i zrealizują własne badanie jakościowe.</w:t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odpunkty"/>
              <w:ind w:start="0"/>
              <w:jc w:val="start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C3</w:t>
            </w:r>
          </w:p>
        </w:tc>
        <w:tc>
          <w:tcPr>
            <w:tcW w:w="9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Zaznajomienie studentów z zapleczem teoretycznym, specyfiką i metodyką metod jakościowych, stosowanych współcześnie w naukach społecznych, z zasadami planowania i prowadzenia takich badań oraz analizy materiału zgromadzonego w ich rezultacie.</w:t>
            </w:r>
          </w:p>
        </w:tc>
      </w:tr>
      <w:tr>
        <w:trPr/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odpunkty"/>
              <w:ind w:start="0"/>
              <w:jc w:val="start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C4</w:t>
            </w:r>
          </w:p>
        </w:tc>
        <w:tc>
          <w:tcPr>
            <w:tcW w:w="9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rPr/>
            </w:pPr>
            <w:r>
              <w:rPr>
                <w:rFonts w:ascii="Corbel" w:hAnsi="Corbel"/>
                <w:b w:val="false"/>
                <w:sz w:val="24"/>
                <w:szCs w:val="24"/>
              </w:rPr>
              <w:t>Przedstawienie paradygmatów: przyrodniczego (naturalistycznego) i humanistycznego (antynaturalistycznego), przy respektowaniu specyfiki ich założeń na temat tego kim/czym jest osoba badana, jakie są założenia na temat natury badanych procesów, specyfiki danych, oczekiwanych rezultatów analizy, ich statusu i miejsca w procesie poznania naukowego.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Standard"/>
        <w:ind w:start="426"/>
        <w:rPr>
          <w:rFonts w:ascii="Corbel" w:hAnsi="Corbel"/>
          <w:b/>
        </w:rPr>
      </w:pPr>
      <w:r>
        <w:rPr>
          <w:rFonts w:ascii="Corbel" w:hAnsi="Corbel"/>
          <w:b/>
        </w:rPr>
      </w:r>
    </w:p>
    <w:p>
      <w:pPr>
        <w:pStyle w:val="Standard"/>
        <w:ind w:start="426"/>
        <w:rPr>
          <w:rFonts w:hint="eastAsia"/>
        </w:rPr>
      </w:pPr>
      <w:r>
        <w:rPr>
          <w:rFonts w:ascii="Corbel" w:hAnsi="Corbel"/>
          <w:b/>
        </w:rPr>
        <w:t>3.2 Efekty uczenia się dla przedmiotu</w:t>
      </w:r>
    </w:p>
    <w:tbl>
      <w:tblPr>
        <w:tblW w:w="10005" w:type="dxa"/>
        <w:jc w:val="start"/>
        <w:tblInd w:w="-147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570"/>
        <w:gridCol w:w="6835"/>
        <w:gridCol w:w="1600"/>
      </w:tblGrid>
      <w:tr>
        <w:trPr/>
        <w:tc>
          <w:tcPr>
            <w:tcW w:w="15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</w:t>
              <w:br/>
              <w:t>(efekt uczenia się)</w:t>
            </w:r>
          </w:p>
        </w:tc>
        <w:tc>
          <w:tcPr>
            <w:tcW w:w="68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</w:t>
              <w:br/>
              <w:t>do efektów  kierunkowych</w:t>
            </w:r>
          </w:p>
        </w:tc>
      </w:tr>
      <w:tr>
        <w:trPr>
          <w:trHeight w:val="1076" w:hRule="atLeast"/>
        </w:trPr>
        <w:tc>
          <w:tcPr>
            <w:tcW w:w="1570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EK_01</w:t>
            </w:r>
          </w:p>
          <w:p>
            <w:pPr>
              <w:pStyle w:val="Punktygwne"/>
              <w:spacing w:before="0" w:after="0"/>
              <w:rPr>
                <w:rFonts w:ascii="Corbel" w:hAnsi="Corbel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</w:r>
          </w:p>
        </w:tc>
        <w:tc>
          <w:tcPr>
            <w:tcW w:w="6835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andard"/>
              <w:jc w:val="both"/>
              <w:rPr>
                <w:rFonts w:ascii="Corbel" w:hAnsi="Corbel"/>
                <w:color w:val="00000A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zna i rozumie:</w:t>
            </w:r>
          </w:p>
          <w:p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jakościowych badań edukacyjnych, społeczno-kulturowe uwarunkowania badań jakościowych;</w:t>
            </w:r>
          </w:p>
        </w:tc>
        <w:tc>
          <w:tcPr>
            <w:tcW w:w="1600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>
          <w:trHeight w:val="2430" w:hRule="atLeast"/>
        </w:trPr>
        <w:tc>
          <w:tcPr>
            <w:tcW w:w="15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r>
          </w:p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r>
          </w:p>
        </w:tc>
        <w:tc>
          <w:tcPr>
            <w:tcW w:w="68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K.W2. strukturę procesu badawczego w badaniach jakościowych pojęcie projektu badawczego, etapy badań jakościowych, kryteria wyboru jakościowej strategii badawczej, cele i problemy badań jakościowych, zasady tworzenia ram pojęciowych badania naukowego, definiowanie przypadku badawczego, specyfikę jakościowych badań w pedagogice przedszkolnej i wczesnoszkolnej, rodzaje i typy badań - terenowe, etnograficzne, performatywne, biograficzne, netnografia; metody gromadzenia i analizy danych); narzędzia badawcze w badaniach jakościowych – konstruowanie dyspozycji do wywiadów; zasady tworzenia scenariuszy badawczych i dyspozycji do badań jakościowych;</w:t>
            </w:r>
          </w:p>
        </w:tc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3969" w:leader="dot"/>
              </w:tabs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>
        <w:trPr>
          <w:trHeight w:val="1125" w:hRule="atLeast"/>
        </w:trPr>
        <w:tc>
          <w:tcPr>
            <w:tcW w:w="15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EK_03</w:t>
            </w:r>
          </w:p>
        </w:tc>
        <w:tc>
          <w:tcPr>
            <w:tcW w:w="68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K.W4. zasady opracowywania wyników i raportu z badań jakościowych; sposoby prezentacji wyników badań jakościowych, zasady przygotowania i opracowania różnych rodzajów tekstów naukowych dotyczących badań jakościowych; warsztat pisarski, style i gatunki, język i sposób narracji;</w:t>
            </w:r>
          </w:p>
        </w:tc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3969" w:leader="dot"/>
              </w:tabs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  <w:p>
            <w:pPr>
              <w:pStyle w:val="Standard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</w:tr>
      <w:tr>
        <w:trPr>
          <w:trHeight w:val="1125" w:hRule="atLeast"/>
        </w:trPr>
        <w:tc>
          <w:tcPr>
            <w:tcW w:w="1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EK_04</w:t>
            </w:r>
          </w:p>
        </w:tc>
        <w:tc>
          <w:tcPr>
            <w:tcW w:w="68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 xml:space="preserve">K.W5. rolę jakości i rzetelności w badaniach, w tym reprezentatywność, trafność, rzetelność, wiarygodność, transparentność, autentyczność, triangulację perspektyw teoretycznych, metod badawczych i źródła danych </w:t>
            </w:r>
          </w:p>
        </w:tc>
        <w:tc>
          <w:tcPr>
            <w:tcW w:w="16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>
          <w:trHeight w:val="1125" w:hRule="atLeast"/>
        </w:trPr>
        <w:tc>
          <w:tcPr>
            <w:tcW w:w="1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EK_05</w:t>
            </w:r>
          </w:p>
        </w:tc>
        <w:tc>
          <w:tcPr>
            <w:tcW w:w="68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K.W6. sposoby wykorzystania wyników badań jakościowych w praktyce społecznej i pedagogicznej, cele badawcze i typy badań w kontekście możliwości ich praktycznego zastosowania, sposoby praktycznego wykorzystania badań naukowych (analizę i diagnozę sytuacji, analizę problemów społecznych i pedagogicznych, określanie potrzeb i planowanie działań interwencyjnych, ewaluację osiągnięć), a także krytyczno-emancypacyjny i transformacyjny potencjał badań naukowych;</w:t>
            </w:r>
          </w:p>
        </w:tc>
        <w:tc>
          <w:tcPr>
            <w:tcW w:w="16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>
        <w:trPr>
          <w:trHeight w:val="1125" w:hRule="atLeast"/>
        </w:trPr>
        <w:tc>
          <w:tcPr>
            <w:tcW w:w="1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EK_06</w:t>
            </w:r>
          </w:p>
        </w:tc>
        <w:tc>
          <w:tcPr>
            <w:tcW w:w="68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K.W7. etyczne aspekty prowadzenia i wykorzystywania badań jakościowych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6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>
          <w:trHeight w:val="1125" w:hRule="atLeast"/>
        </w:trPr>
        <w:tc>
          <w:tcPr>
            <w:tcW w:w="1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EK_07</w:t>
            </w:r>
          </w:p>
        </w:tc>
        <w:tc>
          <w:tcPr>
            <w:tcW w:w="68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K.W8. cechy, styl i redagowanie tekstów naukowych, cel i strukturę pracy dyplomowej, wybór pola badawczego w kontekście wiedzy osobistej i naukowej, technikę pracy naukowej, dobór i selekcję literatury, formy analizy materiałów źródłowych, formy prezentacji wyników badań i doniesień naukowych z literatury, ocenę i krytykę</w:t>
            </w:r>
          </w:p>
          <w:p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dostępnych źródeł teoretycznych, znaczenie umiejętności wywodu i siły argumentacji, a także problemy etyczne w pisaniu pracy dyplomowej;</w:t>
            </w:r>
          </w:p>
        </w:tc>
        <w:tc>
          <w:tcPr>
            <w:tcW w:w="16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>
        <w:trPr>
          <w:trHeight w:val="1125" w:hRule="atLeast"/>
        </w:trPr>
        <w:tc>
          <w:tcPr>
            <w:tcW w:w="1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EK_08</w:t>
            </w:r>
          </w:p>
        </w:tc>
        <w:tc>
          <w:tcPr>
            <w:tcW w:w="68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K.W9. metodologię prowadzenia badań jakościowych oraz zasady zastosowania wiedzy umiejętności metodologicznych we własnym projekcie badawczym, w tym, sformułowania celu i przedmiotu badań, opracowania metod i techniki badań, sformułowania problematyki badań, przygotowania narzędzi badawczych, doboru próby badawczej, terenu i przebiegu badań, prowadzenia badań empirycznych, a także sposoby analizy wyników badań oraz prezentacji wyników badań oraz proces wnioskowania.</w:t>
            </w:r>
          </w:p>
        </w:tc>
        <w:tc>
          <w:tcPr>
            <w:tcW w:w="16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>
          <w:trHeight w:val="1125" w:hRule="atLeast"/>
        </w:trPr>
        <w:tc>
          <w:tcPr>
            <w:tcW w:w="1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EK_09</w:t>
            </w:r>
          </w:p>
        </w:tc>
        <w:tc>
          <w:tcPr>
            <w:tcW w:w="68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umiejętności student potrafi:</w:t>
            </w:r>
          </w:p>
          <w:p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K.U1. zaprojektować proces badań jakościowych oraz umiejętnie dobrać narzędzia badawcze;</w:t>
            </w:r>
          </w:p>
        </w:tc>
        <w:tc>
          <w:tcPr>
            <w:tcW w:w="16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3969" w:leader="dot"/>
              </w:tabs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>
          <w:trHeight w:val="819" w:hRule="atLeast"/>
        </w:trPr>
        <w:tc>
          <w:tcPr>
            <w:tcW w:w="1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EK_10</w:t>
            </w:r>
          </w:p>
        </w:tc>
        <w:tc>
          <w:tcPr>
            <w:tcW w:w="68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K.U2. zebrać dane adekwatne do postawionego problemu badawczego;</w:t>
            </w:r>
          </w:p>
        </w:tc>
        <w:tc>
          <w:tcPr>
            <w:tcW w:w="16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3969" w:leader="dot"/>
              </w:tabs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>
          <w:trHeight w:val="606" w:hRule="atLeast"/>
        </w:trPr>
        <w:tc>
          <w:tcPr>
            <w:tcW w:w="1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EK_11</w:t>
            </w:r>
          </w:p>
        </w:tc>
        <w:tc>
          <w:tcPr>
            <w:tcW w:w="68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K.U3. poprawnie przeprowadzić analizę danych;</w:t>
            </w:r>
          </w:p>
        </w:tc>
        <w:tc>
          <w:tcPr>
            <w:tcW w:w="16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3969" w:leader="dot"/>
              </w:tabs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>
          <w:trHeight w:val="544" w:hRule="atLeast"/>
        </w:trPr>
        <w:tc>
          <w:tcPr>
            <w:tcW w:w="1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EK_12</w:t>
            </w:r>
          </w:p>
        </w:tc>
        <w:tc>
          <w:tcPr>
            <w:tcW w:w="68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K.U4. opracować raport z wyników badań jakościowych;</w:t>
            </w:r>
          </w:p>
        </w:tc>
        <w:tc>
          <w:tcPr>
            <w:tcW w:w="16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3969" w:leader="dot"/>
              </w:tabs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>
          <w:trHeight w:val="559" w:hRule="atLeast"/>
        </w:trPr>
        <w:tc>
          <w:tcPr>
            <w:tcW w:w="1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EK_13</w:t>
            </w:r>
          </w:p>
        </w:tc>
        <w:tc>
          <w:tcPr>
            <w:tcW w:w="68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K.U5. krytycznie przeanalizować raport z wyników badań jakościowych;</w:t>
            </w:r>
          </w:p>
        </w:tc>
        <w:tc>
          <w:tcPr>
            <w:tcW w:w="16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3969" w:leader="dot"/>
              </w:tabs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>
          <w:trHeight w:val="742" w:hRule="atLeast"/>
        </w:trPr>
        <w:tc>
          <w:tcPr>
            <w:tcW w:w="1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EK_14</w:t>
            </w:r>
          </w:p>
        </w:tc>
        <w:tc>
          <w:tcPr>
            <w:tcW w:w="68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K.U6. dobrać literaturę i materiały źródłowe adekwatne do problemu pracy dyplomowej;</w:t>
            </w:r>
          </w:p>
        </w:tc>
        <w:tc>
          <w:tcPr>
            <w:tcW w:w="16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</w:tc>
      </w:tr>
      <w:tr>
        <w:trPr>
          <w:trHeight w:val="973" w:hRule="atLeast"/>
        </w:trPr>
        <w:tc>
          <w:tcPr>
            <w:tcW w:w="1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EK_15</w:t>
            </w:r>
          </w:p>
        </w:tc>
        <w:tc>
          <w:tcPr>
            <w:tcW w:w="68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K.U7. dobrać formę prezentacji zebranych danych oraz argumentację adekwatną do zaprezentowania problemu pracy dyplomowej.</w:t>
            </w:r>
          </w:p>
        </w:tc>
        <w:tc>
          <w:tcPr>
            <w:tcW w:w="16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3969" w:leader="dot"/>
              </w:tabs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>
          <w:trHeight w:val="760" w:hRule="atLeast"/>
        </w:trPr>
        <w:tc>
          <w:tcPr>
            <w:tcW w:w="1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EK_16</w:t>
            </w:r>
          </w:p>
        </w:tc>
        <w:tc>
          <w:tcPr>
            <w:tcW w:w="68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jc w:val="both"/>
              <w:rPr>
                <w:rFonts w:ascii="TimesNewRomanPSMT" w:hAnsi="TimesNewRomanPSMT" w:hint="eastAsia"/>
                <w:color w:val="00000A"/>
                <w:u w:val="single"/>
              </w:rPr>
            </w:pPr>
            <w:r>
              <w:rPr>
                <w:rFonts w:ascii="TimesNewRomanPSMT" w:hAnsi="TimesNewRomanPSMT"/>
                <w:color w:val="00000A"/>
                <w:u w:val="single"/>
              </w:rPr>
              <w:t>W zakresie kompetencji społecznych student jest gotów do:</w:t>
            </w:r>
          </w:p>
          <w:p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K.K2. przestrzegania zasad rzetelności intelektualnej i reguł własności intelektualnej;</w:t>
            </w:r>
          </w:p>
        </w:tc>
        <w:tc>
          <w:tcPr>
            <w:tcW w:w="16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>
        <w:trPr>
          <w:trHeight w:val="715" w:hRule="atLeast"/>
        </w:trPr>
        <w:tc>
          <w:tcPr>
            <w:tcW w:w="15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EK_17</w:t>
            </w:r>
          </w:p>
        </w:tc>
        <w:tc>
          <w:tcPr>
            <w:tcW w:w="683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K.K3. rzetelnego sprawozdania wyników badań zawartych w pracy dyplomowej</w:t>
            </w:r>
          </w:p>
        </w:tc>
        <w:tc>
          <w:tcPr>
            <w:tcW w:w="160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</w:tbl>
    <w:p>
      <w:pPr>
        <w:pStyle w:val="ListParagraph"/>
        <w:ind w:star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</w:p>
    <w:p>
      <w:pPr>
        <w:pStyle w:val="ListParagraph"/>
        <w:ind w:star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</w:r>
    </w:p>
    <w:p>
      <w:pPr>
        <w:pStyle w:val="ListParagraph"/>
        <w:ind w:start="0"/>
        <w:jc w:val="both"/>
        <w:rPr>
          <w:rFonts w:ascii="Corbel, Corbel_EmbeddedFont, Co" w:hAnsi="Corbel, Corbel_EmbeddedFont, Co" w:eastAsia="Corbel, Corbel_EmbeddedFont, Co" w:cs="Corbel, Corbel_EmbeddedFont, Co"/>
        </w:rPr>
      </w:pPr>
      <w:r>
        <w:rPr>
          <w:rFonts w:eastAsia="Corbel, Corbel_EmbeddedFont, Co" w:cs="Corbel, Corbel_EmbeddedFont, Co" w:ascii="Corbel, Corbel_EmbeddedFont, Co" w:hAnsi="Corbel, Corbel_EmbeddedFont, Co"/>
        </w:rPr>
        <w:t>A. Problematyka wykładu</w:t>
      </w:r>
    </w:p>
    <w:tbl>
      <w:tblPr>
        <w:tblW w:w="9923" w:type="dxa"/>
        <w:jc w:val="start"/>
        <w:tblInd w:w="-145" w:type="dxa"/>
        <w:tblLayout w:type="fixed"/>
        <w:tblCellMar>
          <w:top w:w="28" w:type="dxa"/>
          <w:start w:w="28" w:type="dxa"/>
          <w:bottom w:w="28" w:type="dxa"/>
          <w:end w:w="28" w:type="dxa"/>
        </w:tblCellMar>
        <w:tblLook w:firstRow="1" w:noVBand="1" w:lastRow="0" w:firstColumn="1" w:lastColumn="0" w:noHBand="0" w:val="04a0"/>
      </w:tblPr>
      <w:tblGrid>
        <w:gridCol w:w="9923"/>
      </w:tblGrid>
      <w:tr>
        <w:trPr/>
        <w:tc>
          <w:tcPr>
            <w:tcW w:w="992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widowControl/>
              <w:numPr>
                <w:ilvl w:val="0"/>
                <w:numId w:val="5"/>
              </w:numPr>
              <w:tabs>
                <w:tab w:val="clear" w:pos="709"/>
                <w:tab w:val="left" w:pos="349" w:leader="none"/>
              </w:tabs>
              <w:spacing w:lineRule="atLeast" w:line="285"/>
              <w:jc w:val="both"/>
              <w:rPr>
                <w:rFonts w:ascii="Corbel, Corbel_EmbeddedFont, Co" w:hAnsi="Corbel, Corbel_EmbeddedFont, Co" w:eastAsia="Corbel, Corbel_EmbeddedFont, Co" w:cs="Corbel, Corbel_EmbeddedFont, Co"/>
              </w:rPr>
            </w:pPr>
            <w:r>
              <w:rPr>
                <w:rFonts w:eastAsia="Corbel, Corbel_EmbeddedFont, Co" w:cs="Corbel, Corbel_EmbeddedFont, Co" w:ascii="Corbel, Corbel_EmbeddedFont, Co" w:hAnsi="Corbel, Corbel_EmbeddedFont, Co"/>
              </w:rPr>
              <w:t>Badania jakościowe – podstawowe cechy, możliwości i ograniczenia, kontrowersje wokół strategii badań. Paradygmat logiczno-pozytywistyczny i humanistyczny.</w:t>
            </w:r>
          </w:p>
        </w:tc>
      </w:tr>
      <w:tr>
        <w:trPr/>
        <w:tc>
          <w:tcPr>
            <w:tcW w:w="992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widowControl/>
              <w:numPr>
                <w:ilvl w:val="0"/>
                <w:numId w:val="5"/>
              </w:numPr>
              <w:tabs>
                <w:tab w:val="clear" w:pos="709"/>
                <w:tab w:val="left" w:pos="349" w:leader="none"/>
              </w:tabs>
              <w:spacing w:lineRule="atLeast" w:line="285"/>
              <w:jc w:val="both"/>
              <w:rPr>
                <w:rFonts w:ascii="Corbel, Corbel_EmbeddedFont, Co" w:hAnsi="Corbel, Corbel_EmbeddedFont, Co" w:eastAsia="Corbel, Corbel_EmbeddedFont, Co" w:cs="Corbel, Corbel_EmbeddedFont, Co"/>
              </w:rPr>
            </w:pPr>
            <w:r>
              <w:rPr>
                <w:rFonts w:eastAsia="Corbel, Corbel_EmbeddedFont, Co" w:cs="Corbel, Corbel_EmbeddedFont, Co" w:ascii="Corbel, Corbel_EmbeddedFont, Co" w:hAnsi="Corbel, Corbel_EmbeddedFont, Co"/>
              </w:rPr>
              <w:t xml:space="preserve">Przedmiot badań a wybór orientacji badawczej; komplementarność badań jakościowych </w:t>
              <w:br/>
              <w:t>w naukach społecznych.</w:t>
            </w:r>
          </w:p>
        </w:tc>
      </w:tr>
      <w:tr>
        <w:trPr/>
        <w:tc>
          <w:tcPr>
            <w:tcW w:w="992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widowControl/>
              <w:numPr>
                <w:ilvl w:val="0"/>
                <w:numId w:val="5"/>
              </w:numPr>
              <w:tabs>
                <w:tab w:val="clear" w:pos="709"/>
                <w:tab w:val="left" w:pos="349" w:leader="none"/>
              </w:tabs>
              <w:spacing w:lineRule="atLeast" w:line="285"/>
              <w:jc w:val="both"/>
              <w:rPr>
                <w:rFonts w:ascii="Corbel, Corbel_EmbeddedFont, Co" w:hAnsi="Corbel, Corbel_EmbeddedFont, Co" w:eastAsia="Corbel, Corbel_EmbeddedFont, Co" w:cs="Corbel, Corbel_EmbeddedFont, Co"/>
              </w:rPr>
            </w:pPr>
            <w:r>
              <w:rPr>
                <w:rFonts w:eastAsia="Corbel, Corbel_EmbeddedFont, Co" w:cs="Corbel, Corbel_EmbeddedFont, Co" w:ascii="Corbel, Corbel_EmbeddedFont, Co" w:hAnsi="Corbel, Corbel_EmbeddedFont, Co"/>
              </w:rPr>
              <w:t>Orientacje w badaniach jakościowych - badania narracyjne, fenomenologiczne, teoria ugruntowana, badania etnograficzne, analizy przypadku.</w:t>
            </w:r>
          </w:p>
        </w:tc>
      </w:tr>
      <w:tr>
        <w:trPr/>
        <w:tc>
          <w:tcPr>
            <w:tcW w:w="992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widowControl/>
              <w:numPr>
                <w:ilvl w:val="0"/>
                <w:numId w:val="5"/>
              </w:numPr>
              <w:tabs>
                <w:tab w:val="clear" w:pos="709"/>
                <w:tab w:val="left" w:pos="349" w:leader="none"/>
              </w:tabs>
              <w:spacing w:lineRule="atLeast" w:line="285"/>
              <w:jc w:val="both"/>
              <w:rPr>
                <w:rFonts w:ascii="Corbel, Corbel_EmbeddedFont, Co" w:hAnsi="Corbel, Corbel_EmbeddedFont, Co" w:eastAsia="Corbel, Corbel_EmbeddedFont, Co" w:cs="Corbel, Corbel_EmbeddedFont, Co"/>
              </w:rPr>
            </w:pPr>
            <w:r>
              <w:rPr>
                <w:rFonts w:eastAsia="Corbel, Corbel_EmbeddedFont, Co" w:cs="Corbel, Corbel_EmbeddedFont, Co" w:ascii="Corbel, Corbel_EmbeddedFont, Co" w:hAnsi="Corbel, Corbel_EmbeddedFont, Co"/>
              </w:rPr>
              <w:t>Sposoby redagowanie tekstów naukowych w strategii badań jakościowych</w:t>
            </w:r>
          </w:p>
        </w:tc>
      </w:tr>
      <w:tr>
        <w:trPr/>
        <w:tc>
          <w:tcPr>
            <w:tcW w:w="992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widowControl/>
              <w:numPr>
                <w:ilvl w:val="0"/>
                <w:numId w:val="5"/>
              </w:numPr>
              <w:tabs>
                <w:tab w:val="clear" w:pos="709"/>
                <w:tab w:val="left" w:pos="349" w:leader="none"/>
              </w:tabs>
              <w:spacing w:lineRule="atLeast" w:line="285"/>
              <w:jc w:val="both"/>
              <w:rPr>
                <w:rFonts w:ascii="Corbel, Corbel_EmbeddedFont, Co" w:hAnsi="Corbel, Corbel_EmbeddedFont, Co" w:eastAsia="Corbel, Corbel_EmbeddedFont, Co" w:cs="Corbel, Corbel_EmbeddedFont, Co"/>
              </w:rPr>
            </w:pPr>
            <w:r>
              <w:rPr>
                <w:rFonts w:eastAsia="Corbel, Corbel_EmbeddedFont, Co" w:cs="Corbel, Corbel_EmbeddedFont, Co" w:ascii="Corbel, Corbel_EmbeddedFont, Co" w:hAnsi="Corbel, Corbel_EmbeddedFont, Co"/>
              </w:rPr>
              <w:t>Praktyczne aspekty badań jakościowych. Sposoby wykorzystania wyników badań jakościowych w praktyce społecznej i pedagogicznej.</w:t>
            </w:r>
          </w:p>
        </w:tc>
      </w:tr>
      <w:tr>
        <w:trPr/>
        <w:tc>
          <w:tcPr>
            <w:tcW w:w="992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widowControl/>
              <w:numPr>
                <w:ilvl w:val="0"/>
                <w:numId w:val="5"/>
              </w:numPr>
              <w:tabs>
                <w:tab w:val="clear" w:pos="709"/>
                <w:tab w:val="left" w:pos="349" w:leader="none"/>
              </w:tabs>
              <w:spacing w:lineRule="atLeast" w:line="285"/>
              <w:jc w:val="both"/>
              <w:rPr>
                <w:rFonts w:ascii="Corbel, Corbel_EmbeddedFont, Co" w:hAnsi="Corbel, Corbel_EmbeddedFont, Co" w:eastAsia="Corbel, Corbel_EmbeddedFont, Co" w:cs="Corbel, Corbel_EmbeddedFont, Co"/>
              </w:rPr>
            </w:pPr>
            <w:r>
              <w:rPr>
                <w:rFonts w:eastAsia="Corbel, Corbel_EmbeddedFont, Co" w:cs="Corbel, Corbel_EmbeddedFont, Co" w:ascii="Corbel, Corbel_EmbeddedFont, Co" w:hAnsi="Corbel, Corbel_EmbeddedFont, Co"/>
              </w:rPr>
              <w:t>Etyczny wymiar badań jakościowych - uniwersalne zasady etyczne i przejawy ich łamania, dylematy moralne w badaniach jakościowych, problematyka świadomej zgody na udział w badaniach jakościowych.</w:t>
            </w:r>
          </w:p>
        </w:tc>
      </w:tr>
    </w:tbl>
    <w:p>
      <w:pPr>
        <w:pStyle w:val="Normal"/>
        <w:spacing w:before="0" w:after="120"/>
        <w:jc w:val="both"/>
        <w:rPr>
          <w:rFonts w:ascii="Corbel, Corbel_EmbeddedFont, Co" w:hAnsi="Corbel, Corbel_EmbeddedFont, Co" w:eastAsia="Corbel, Corbel_EmbeddedFont, Co" w:cs="Corbel, Corbel_EmbeddedFont, Co"/>
        </w:rPr>
      </w:pPr>
      <w:r>
        <w:rPr>
          <w:rFonts w:eastAsia="Corbel, Corbel_EmbeddedFont, Co" w:cs="Corbel, Corbel_EmbeddedFont, Co" w:ascii="Corbel, Corbel_EmbeddedFont, Co" w:hAnsi="Corbel, Corbel_EmbeddedFont, Co"/>
        </w:rPr>
        <w:t>B. Problematyka ćwiczeń</w:t>
      </w:r>
    </w:p>
    <w:tbl>
      <w:tblPr>
        <w:tblW w:w="9923" w:type="dxa"/>
        <w:jc w:val="start"/>
        <w:tblInd w:w="-147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923"/>
      </w:tblGrid>
      <w:tr>
        <w:trPr>
          <w:trHeight w:val="210" w:hRule="atLeast"/>
        </w:trPr>
        <w:tc>
          <w:tcPr>
            <w:tcW w:w="99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rFonts w:ascii="Corbel, Corbel_EmbeddedFont, Co" w:hAnsi="Corbel, Corbel_EmbeddedFont, Co" w:eastAsia="Corbel, Corbel_EmbeddedFont, Co" w:cs="Corbel, Corbel_EmbeddedFont, Co"/>
              </w:rPr>
            </w:pPr>
            <w:r>
              <w:rPr>
                <w:rFonts w:eastAsia="Corbel, Corbel_EmbeddedFont, Co" w:cs="Corbel, Corbel_EmbeddedFont, Co" w:ascii="Corbel, Corbel_EmbeddedFont, Co" w:hAnsi="Corbel, Corbel_EmbeddedFont, Co"/>
              </w:rPr>
              <w:t>Perspektywy rozwoju i dylematy badań jakościowych.</w:t>
            </w:r>
          </w:p>
        </w:tc>
      </w:tr>
      <w:tr>
        <w:trPr/>
        <w:tc>
          <w:tcPr>
            <w:tcW w:w="99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rFonts w:ascii="Corbel, Corbel_EmbeddedFont, Co" w:hAnsi="Corbel, Corbel_EmbeddedFont, Co" w:eastAsia="Corbel, Corbel_EmbeddedFont, Co" w:cs="Corbel, Corbel_EmbeddedFont, Co"/>
              </w:rPr>
            </w:pPr>
            <w:r>
              <w:rPr>
                <w:rFonts w:eastAsia="Corbel, Corbel_EmbeddedFont, Co" w:cs="Corbel, Corbel_EmbeddedFont, Co" w:ascii="Corbel, Corbel_EmbeddedFont, Co" w:hAnsi="Corbel, Corbel_EmbeddedFont, Co"/>
              </w:rPr>
              <w:t>Analiza przykładowych projektów badawczych realizowanych w nurcie badań jakościowych.</w:t>
            </w:r>
          </w:p>
        </w:tc>
      </w:tr>
      <w:tr>
        <w:trPr/>
        <w:tc>
          <w:tcPr>
            <w:tcW w:w="99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rFonts w:ascii="Corbel, Corbel_EmbeddedFont, Co" w:hAnsi="Corbel, Corbel_EmbeddedFont, Co" w:eastAsia="Corbel, Corbel_EmbeddedFont, Co" w:cs="Corbel, Corbel_EmbeddedFont, Co"/>
              </w:rPr>
            </w:pPr>
            <w:r>
              <w:rPr>
                <w:rFonts w:eastAsia="Corbel, Corbel_EmbeddedFont, Co" w:cs="Corbel, Corbel_EmbeddedFont, Co" w:ascii="Corbel, Corbel_EmbeddedFont, Co" w:hAnsi="Corbel, Corbel_EmbeddedFont, Co"/>
              </w:rPr>
              <w:t>Projektowanie badań jakościowych – elementy projektu i cechy poprawnego projektu badawczego.</w:t>
            </w:r>
          </w:p>
        </w:tc>
      </w:tr>
      <w:tr>
        <w:trPr/>
        <w:tc>
          <w:tcPr>
            <w:tcW w:w="99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rFonts w:ascii="Corbel, Corbel_EmbeddedFont, Co" w:hAnsi="Corbel, Corbel_EmbeddedFont, Co" w:eastAsia="Corbel, Corbel_EmbeddedFont, Co" w:cs="Corbel, Corbel_EmbeddedFont, Co"/>
              </w:rPr>
            </w:pPr>
            <w:r>
              <w:rPr>
                <w:rFonts w:eastAsia="Corbel, Corbel_EmbeddedFont, Co" w:cs="Corbel, Corbel_EmbeddedFont, Co" w:ascii="Corbel, Corbel_EmbeddedFont, Co" w:hAnsi="Corbel, Corbel_EmbeddedFont, Co"/>
              </w:rPr>
              <w:t xml:space="preserve">Jakość w badaniach jakościowych - jakość na etapie projektowania i realizacji badań; </w:t>
              <w:br/>
              <w:t>rozpowszechnianie wyników badań.</w:t>
            </w:r>
          </w:p>
        </w:tc>
      </w:tr>
      <w:tr>
        <w:trPr/>
        <w:tc>
          <w:tcPr>
            <w:tcW w:w="99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rFonts w:hint="eastAsia"/>
              </w:rPr>
            </w:pPr>
            <w:r>
              <w:rPr>
                <w:rFonts w:eastAsia="Calibri" w:cs="Times New Roman" w:ascii="Corbel" w:hAnsi="Corbel"/>
                <w:kern w:val="0"/>
                <w:lang w:eastAsia="pl-PL" w:bidi="ar-SA"/>
              </w:rPr>
              <w:t xml:space="preserve">Metody badań jakościowych (otwarty wywiad pogłębiony, metoda biograficzna, obserwacja uczestnicząca, jakościowa analiza treści; badania fokusowe, </w:t>
            </w:r>
            <w:r>
              <w:rPr>
                <w:rFonts w:ascii="Corbel" w:hAnsi="Corbel"/>
                <w:color w:val="00000A"/>
              </w:rPr>
              <w:t>terenowe, etnograficzne, performatywne, biograficzne, netnografia</w:t>
            </w:r>
            <w:r>
              <w:rPr>
                <w:rFonts w:eastAsia="Calibri" w:cs="Times New Roman" w:ascii="Corbel" w:hAnsi="Corbel"/>
                <w:kern w:val="0"/>
                <w:lang w:eastAsia="pl-PL" w:bidi="ar-SA"/>
              </w:rPr>
              <w:t>) i ich praktyczne zastosowania.</w:t>
            </w:r>
          </w:p>
        </w:tc>
      </w:tr>
      <w:tr>
        <w:trPr/>
        <w:tc>
          <w:tcPr>
            <w:tcW w:w="99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rFonts w:hint="eastAsia"/>
              </w:rPr>
            </w:pPr>
            <w:r>
              <w:rPr>
                <w:rFonts w:eastAsia="Calibri" w:cs="Times New Roman" w:ascii="Corbel" w:hAnsi="Corbel"/>
                <w:kern w:val="0"/>
                <w:lang w:eastAsia="pl-PL" w:bidi="ar-SA"/>
              </w:rPr>
              <w:t>Wywiad Historii Życia McAdamsa i wywiad narracyjny F. Schützego.</w:t>
            </w:r>
          </w:p>
        </w:tc>
      </w:tr>
      <w:tr>
        <w:trPr/>
        <w:tc>
          <w:tcPr>
            <w:tcW w:w="99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rFonts w:hint="eastAsia"/>
              </w:rPr>
            </w:pPr>
            <w:r>
              <w:rPr>
                <w:rFonts w:eastAsia="Calibri" w:cs="Times New Roman" w:ascii="Corbel" w:hAnsi="Corbel"/>
                <w:kern w:val="0"/>
                <w:lang w:eastAsia="pl-PL" w:bidi="ar-SA"/>
              </w:rPr>
              <w:t>Analiza fotografii i analiza memów jako przykłady badań jakościowych.</w:t>
            </w:r>
          </w:p>
        </w:tc>
      </w:tr>
      <w:tr>
        <w:trPr/>
        <w:tc>
          <w:tcPr>
            <w:tcW w:w="99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rFonts w:hint="eastAsia"/>
              </w:rPr>
            </w:pPr>
            <w:r>
              <w:rPr>
                <w:rFonts w:eastAsia="Calibri" w:cs="Times New Roman" w:ascii="Corbel" w:hAnsi="Corbel"/>
                <w:kern w:val="0"/>
                <w:lang w:eastAsia="pl-PL" w:bidi="ar-SA"/>
              </w:rPr>
              <w:t xml:space="preserve">Projekty badań jakościowych zrealizowane przez Studentów – analiza merytoryczna </w:t>
              <w:br/>
              <w:t>i formalna</w:t>
            </w:r>
          </w:p>
        </w:tc>
      </w:tr>
    </w:tbl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/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</w:p>
    <w:p>
      <w:pPr>
        <w:pStyle w:val="Punktygwne"/>
        <w:spacing w:before="0" w:after="0"/>
        <w:jc w:val="both"/>
        <w:rPr/>
      </w:pPr>
      <w:r>
        <w:rPr>
          <w:rFonts w:ascii="Corbel" w:hAnsi="Corbel"/>
          <w:b w:val="false"/>
          <w:caps w:val="false"/>
          <w:smallCaps w:val="false"/>
          <w:szCs w:val="24"/>
        </w:rPr>
        <w:t>WYKŁAD: wykład problemowy, wykład z prezentacją multimedialną,</w:t>
      </w:r>
    </w:p>
    <w:p>
      <w:pPr>
        <w:pStyle w:val="Punktygwne"/>
        <w:spacing w:before="0" w:after="0"/>
        <w:jc w:val="both"/>
        <w:rPr/>
      </w:pPr>
      <w:r>
        <w:rPr>
          <w:rFonts w:ascii="Corbel" w:hAnsi="Corbel"/>
          <w:b w:val="false"/>
          <w:bCs/>
          <w:caps w:val="false"/>
          <w:smallCaps w:val="false"/>
          <w:szCs w:val="24"/>
        </w:rPr>
        <w:t>Konwersatoria: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analiza tekstów z dyskusją, metoda projektów, praca w grupach (rozwiązywanie zadań, dyskusja)</w:t>
      </w:r>
    </w:p>
    <w:p>
      <w:pPr>
        <w:pStyle w:val="Punktygwne"/>
        <w:tabs>
          <w:tab w:val="clear" w:pos="709"/>
          <w:tab w:val="left" w:pos="284" w:leader="none"/>
        </w:tabs>
        <w:spacing w:before="0" w:after="0"/>
        <w:rPr>
          <w:rFonts w:ascii="Corbel" w:hAnsi="Corbel"/>
          <w:b w:val="false"/>
          <w:bCs/>
          <w:caps w:val="false"/>
          <w:smallCaps w:val="false"/>
          <w:szCs w:val="24"/>
        </w:rPr>
      </w:pPr>
      <w:r>
        <w:rPr>
          <w:rFonts w:ascii="Corbel" w:hAnsi="Corbel"/>
          <w:b w:val="false"/>
          <w:bCs/>
          <w:caps w:val="false"/>
          <w:smallCaps w:val="false"/>
          <w:szCs w:val="24"/>
        </w:rPr>
      </w:r>
    </w:p>
    <w:p>
      <w:pPr>
        <w:pStyle w:val="Punktygwne"/>
        <w:tabs>
          <w:tab w:val="clear" w:pos="709"/>
          <w:tab w:val="left" w:pos="284" w:leader="none"/>
        </w:tabs>
        <w:spacing w:before="0" w:after="0"/>
        <w:rPr/>
      </w:pPr>
      <w:r>
        <w:rPr>
          <w:rFonts w:ascii="Corbel" w:hAnsi="Corbel"/>
          <w:caps w:val="false"/>
          <w:smallCaps w:val="false"/>
        </w:rPr>
        <w:t>4. METODY I KRYTERIA OCENY</w:t>
      </w:r>
    </w:p>
    <w:p>
      <w:pPr>
        <w:pStyle w:val="Punktygwne"/>
        <w:spacing w:before="0" w:after="0"/>
        <w:ind w:start="426"/>
        <w:rPr/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10103" w:type="dxa"/>
        <w:jc w:val="start"/>
        <w:tblInd w:w="-17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223"/>
        <w:gridCol w:w="4603"/>
        <w:gridCol w:w="3277"/>
      </w:tblGrid>
      <w:tr>
        <w:trPr>
          <w:trHeight w:val="960" w:hRule="atLeast"/>
        </w:trPr>
        <w:tc>
          <w:tcPr>
            <w:tcW w:w="22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Symbol efektu</w:t>
            </w:r>
          </w:p>
        </w:tc>
        <w:tc>
          <w:tcPr>
            <w:tcW w:w="46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Metody oceny efektów uczenia się</w:t>
            </w:r>
          </w:p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3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Forma zajęć dydaktycznych</w:t>
            </w:r>
          </w:p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(w, ćw, …)</w:t>
            </w:r>
          </w:p>
        </w:tc>
      </w:tr>
      <w:tr>
        <w:trPr>
          <w:trHeight w:val="624" w:hRule="atLeast"/>
        </w:trPr>
        <w:tc>
          <w:tcPr>
            <w:tcW w:w="22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szCs w:val="24"/>
              </w:rPr>
              <w:t>ek_ 01</w:t>
            </w:r>
          </w:p>
        </w:tc>
        <w:tc>
          <w:tcPr>
            <w:tcW w:w="46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egzamin i projekt</w:t>
            </w:r>
          </w:p>
        </w:tc>
        <w:tc>
          <w:tcPr>
            <w:tcW w:w="3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Wykład Konwersatorium</w:t>
            </w:r>
          </w:p>
        </w:tc>
      </w:tr>
      <w:tr>
        <w:trPr/>
        <w:tc>
          <w:tcPr>
            <w:tcW w:w="22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szCs w:val="24"/>
              </w:rPr>
              <w:t>Ek_ 02</w:t>
            </w:r>
          </w:p>
        </w:tc>
        <w:tc>
          <w:tcPr>
            <w:tcW w:w="46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egzamin i projekt</w:t>
            </w:r>
          </w:p>
        </w:tc>
        <w:tc>
          <w:tcPr>
            <w:tcW w:w="3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wykład, Konwersatorium</w:t>
            </w:r>
          </w:p>
        </w:tc>
      </w:tr>
      <w:tr>
        <w:trPr>
          <w:trHeight w:val="538" w:hRule="atLeast"/>
        </w:trPr>
        <w:tc>
          <w:tcPr>
            <w:tcW w:w="22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szCs w:val="24"/>
              </w:rPr>
              <w:t>Ek_ 03</w:t>
            </w:r>
          </w:p>
        </w:tc>
        <w:tc>
          <w:tcPr>
            <w:tcW w:w="46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egzamin i projekt</w:t>
            </w:r>
          </w:p>
        </w:tc>
        <w:tc>
          <w:tcPr>
            <w:tcW w:w="3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wykład, Konwersatorium</w:t>
            </w:r>
          </w:p>
        </w:tc>
      </w:tr>
      <w:tr>
        <w:trPr/>
        <w:tc>
          <w:tcPr>
            <w:tcW w:w="22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Ek_04</w:t>
            </w:r>
          </w:p>
        </w:tc>
        <w:tc>
          <w:tcPr>
            <w:tcW w:w="46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egzamin i projekt</w:t>
            </w:r>
          </w:p>
        </w:tc>
        <w:tc>
          <w:tcPr>
            <w:tcW w:w="3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wykład, Konwersatorium</w:t>
            </w:r>
          </w:p>
        </w:tc>
      </w:tr>
      <w:tr>
        <w:trPr/>
        <w:tc>
          <w:tcPr>
            <w:tcW w:w="22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Ek_05</w:t>
            </w:r>
          </w:p>
        </w:tc>
        <w:tc>
          <w:tcPr>
            <w:tcW w:w="460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egzamin i projekt</w:t>
            </w:r>
          </w:p>
        </w:tc>
        <w:tc>
          <w:tcPr>
            <w:tcW w:w="327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Wykład Konwersatorium</w:t>
            </w:r>
          </w:p>
        </w:tc>
      </w:tr>
      <w:tr>
        <w:trPr/>
        <w:tc>
          <w:tcPr>
            <w:tcW w:w="22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Ek_06</w:t>
            </w:r>
          </w:p>
        </w:tc>
        <w:tc>
          <w:tcPr>
            <w:tcW w:w="460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egzamin i projekt</w:t>
            </w:r>
          </w:p>
        </w:tc>
        <w:tc>
          <w:tcPr>
            <w:tcW w:w="327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Wykład Konwersatorium</w:t>
            </w:r>
          </w:p>
        </w:tc>
      </w:tr>
      <w:tr>
        <w:trPr/>
        <w:tc>
          <w:tcPr>
            <w:tcW w:w="22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Ek_07</w:t>
            </w:r>
          </w:p>
        </w:tc>
        <w:tc>
          <w:tcPr>
            <w:tcW w:w="460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egzamin i projekt</w:t>
            </w:r>
          </w:p>
        </w:tc>
        <w:tc>
          <w:tcPr>
            <w:tcW w:w="327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Wykład Konwersatorium</w:t>
            </w:r>
          </w:p>
        </w:tc>
      </w:tr>
      <w:tr>
        <w:trPr/>
        <w:tc>
          <w:tcPr>
            <w:tcW w:w="22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Ek_08</w:t>
            </w:r>
          </w:p>
        </w:tc>
        <w:tc>
          <w:tcPr>
            <w:tcW w:w="460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egzamin i projekt</w:t>
            </w:r>
          </w:p>
        </w:tc>
        <w:tc>
          <w:tcPr>
            <w:tcW w:w="327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Wykład Konwersatorium</w:t>
            </w:r>
          </w:p>
        </w:tc>
      </w:tr>
      <w:tr>
        <w:trPr/>
        <w:tc>
          <w:tcPr>
            <w:tcW w:w="22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Ek_09</w:t>
            </w:r>
          </w:p>
        </w:tc>
        <w:tc>
          <w:tcPr>
            <w:tcW w:w="460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egzamin i projekt</w:t>
            </w:r>
          </w:p>
        </w:tc>
        <w:tc>
          <w:tcPr>
            <w:tcW w:w="327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Wykład Konwersatorium</w:t>
            </w:r>
          </w:p>
        </w:tc>
      </w:tr>
      <w:tr>
        <w:trPr/>
        <w:tc>
          <w:tcPr>
            <w:tcW w:w="22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Ek_10</w:t>
            </w:r>
          </w:p>
        </w:tc>
        <w:tc>
          <w:tcPr>
            <w:tcW w:w="460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egzamin i projekt</w:t>
            </w:r>
          </w:p>
        </w:tc>
        <w:tc>
          <w:tcPr>
            <w:tcW w:w="327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Wykład Konwersatorium</w:t>
            </w:r>
          </w:p>
        </w:tc>
      </w:tr>
      <w:tr>
        <w:trPr/>
        <w:tc>
          <w:tcPr>
            <w:tcW w:w="22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Ek_11</w:t>
            </w:r>
          </w:p>
        </w:tc>
        <w:tc>
          <w:tcPr>
            <w:tcW w:w="460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egzamin i projekt</w:t>
            </w:r>
          </w:p>
        </w:tc>
        <w:tc>
          <w:tcPr>
            <w:tcW w:w="327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Wykład Konwersatorium</w:t>
            </w:r>
          </w:p>
        </w:tc>
      </w:tr>
      <w:tr>
        <w:trPr/>
        <w:tc>
          <w:tcPr>
            <w:tcW w:w="22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Ek_12</w:t>
            </w:r>
          </w:p>
        </w:tc>
        <w:tc>
          <w:tcPr>
            <w:tcW w:w="460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egzamin i projekt</w:t>
            </w:r>
          </w:p>
        </w:tc>
        <w:tc>
          <w:tcPr>
            <w:tcW w:w="327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Wykład Konwersatorium</w:t>
            </w:r>
          </w:p>
        </w:tc>
      </w:tr>
      <w:tr>
        <w:trPr/>
        <w:tc>
          <w:tcPr>
            <w:tcW w:w="22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Ek_13</w:t>
            </w:r>
          </w:p>
        </w:tc>
        <w:tc>
          <w:tcPr>
            <w:tcW w:w="460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egzamin i projekt</w:t>
            </w:r>
          </w:p>
        </w:tc>
        <w:tc>
          <w:tcPr>
            <w:tcW w:w="327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Wykład Konwersatorium</w:t>
            </w:r>
          </w:p>
        </w:tc>
      </w:tr>
      <w:tr>
        <w:trPr/>
        <w:tc>
          <w:tcPr>
            <w:tcW w:w="22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Ek_14</w:t>
            </w:r>
          </w:p>
        </w:tc>
        <w:tc>
          <w:tcPr>
            <w:tcW w:w="460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egzamin i projekt</w:t>
            </w:r>
          </w:p>
        </w:tc>
        <w:tc>
          <w:tcPr>
            <w:tcW w:w="327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Wykład Konwersatorium</w:t>
            </w:r>
          </w:p>
        </w:tc>
      </w:tr>
      <w:tr>
        <w:trPr/>
        <w:tc>
          <w:tcPr>
            <w:tcW w:w="22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Ek_15</w:t>
            </w:r>
          </w:p>
        </w:tc>
        <w:tc>
          <w:tcPr>
            <w:tcW w:w="460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egzamin i projekt</w:t>
            </w:r>
          </w:p>
        </w:tc>
        <w:tc>
          <w:tcPr>
            <w:tcW w:w="327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Wykład Konwersatorium</w:t>
            </w:r>
          </w:p>
        </w:tc>
      </w:tr>
      <w:tr>
        <w:trPr/>
        <w:tc>
          <w:tcPr>
            <w:tcW w:w="22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 16</w:t>
            </w:r>
          </w:p>
        </w:tc>
        <w:tc>
          <w:tcPr>
            <w:tcW w:w="460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egzamin i projekt</w:t>
            </w:r>
          </w:p>
        </w:tc>
        <w:tc>
          <w:tcPr>
            <w:tcW w:w="327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Wykład Konwersatorium</w:t>
            </w:r>
          </w:p>
        </w:tc>
      </w:tr>
      <w:tr>
        <w:trPr/>
        <w:tc>
          <w:tcPr>
            <w:tcW w:w="22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szCs w:val="24"/>
              </w:rPr>
              <w:t>Ek_ 17</w:t>
            </w:r>
          </w:p>
        </w:tc>
        <w:tc>
          <w:tcPr>
            <w:tcW w:w="460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egzamin i projekt</w:t>
            </w:r>
          </w:p>
        </w:tc>
        <w:tc>
          <w:tcPr>
            <w:tcW w:w="327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Wykład Konwersatorium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/>
      </w:pPr>
      <w:r>
        <w:rPr>
          <w:rFonts w:ascii="Corbel" w:hAnsi="Corbel"/>
          <w:caps w:val="false"/>
          <w:smallCaps w:val="false"/>
          <w:szCs w:val="24"/>
        </w:rPr>
        <w:t>4.2 Warunki zaliczenia przedmiotu (kryteria oceniania)</w:t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10170" w:type="dxa"/>
        <w:jc w:val="start"/>
        <w:tblInd w:w="-17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0170"/>
      </w:tblGrid>
      <w:tr>
        <w:trPr/>
        <w:tc>
          <w:tcPr>
            <w:tcW w:w="10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Zaliczenie wykładu – obecność.</w:t>
            </w:r>
          </w:p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Zaliczenie konwersatorium –  aktywność, projekt badawczy – opracowanie koncepcji badań jakościowych, ich realizacja i prezentacja</w:t>
            </w:r>
          </w:p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Zaliczenie przedmiotu – egzamin pisemny (51% poprawnych odpowiedzi).</w:t>
            </w:r>
          </w:p>
          <w:p>
            <w:pPr>
              <w:pStyle w:val="Standard"/>
              <w:rPr>
                <w:rFonts w:ascii="Corbel" w:hAnsi="Corbel"/>
                <w:shd w:fill="FFFFFF" w:val="clear"/>
              </w:rPr>
            </w:pPr>
            <w:r>
              <w:rPr>
                <w:rFonts w:ascii="Corbel" w:hAnsi="Corbel"/>
                <w:shd w:fill="FFFFFF" w:val="clear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  <w:u w:val="single"/>
              </w:rPr>
              <w:t>Kryteria oceny prac pisemnych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: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5.0 - wykazuje znajomość każdej z treści kształcenia na poziomie 91%-100%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4.5 – wykazuje znajomość każdej z treści kształcenia na poziomie 81%-90%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4.0 – wykazuje znajomość każdej z treści kształcenia na poziomie 71%-80%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3.5 – wykazuje znajomość każdej z treści kształcenia na poziomie 61%-70%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3.0 – wykazuje znajomość każdej z treści kształcenia na poziomie 51%-60%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2.0– wykazuje znajomość każdej z treści kształcenia poniżej 51%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eastAsia="Calibri" w:cs="Times New Roman" w:ascii="Corbel" w:hAnsi="Corbel"/>
                <w:kern w:val="0"/>
                <w:u w:val="single"/>
              </w:rPr>
              <w:t>Kryteria oceny projektów</w:t>
            </w:r>
            <w:r>
              <w:rPr>
                <w:rFonts w:eastAsia="Calibri" w:cs="Times New Roman" w:ascii="Corbel" w:hAnsi="Corbel"/>
                <w:kern w:val="0"/>
              </w:rPr>
              <w:t>: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2,0 - Student nie opracował projektu, jego wiedza i umiejętności są niewystarczające na każdym etapie projektu.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start="284"/>
        <w:jc w:val="both"/>
        <w:rPr/>
      </w:pPr>
      <w:r>
        <w:rPr>
          <w:rFonts w:ascii="Corbel" w:hAnsi="Corbel"/>
          <w:b/>
          <w:sz w:val="24"/>
          <w:szCs w:val="24"/>
        </w:rPr>
        <w:t>5. CAŁKOWITY NAKŁAD PRACY STUDENTA POTRZEBNY DO OSIĄGNIĘCIA ZAŁOŻONYCH EFEKTÓW W GODZINACH ORAZ PUNKTACH ECTS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10082" w:type="dxa"/>
        <w:jc w:val="start"/>
        <w:tblInd w:w="-17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6946"/>
        <w:gridCol w:w="3136"/>
      </w:tblGrid>
      <w:tr>
        <w:trPr/>
        <w:tc>
          <w:tcPr>
            <w:tcW w:w="69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before="0" w:after="0"/>
              <w:ind w:start="0"/>
              <w:contextualSpacing/>
              <w:jc w:val="center"/>
              <w:rPr>
                <w:rFonts w:hint="eastAsia"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before="0" w:after="0"/>
              <w:ind w:start="0"/>
              <w:contextualSpacing/>
              <w:jc w:val="center"/>
              <w:rPr>
                <w:rFonts w:hint="eastAsia"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69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before="0" w:after="0"/>
              <w:ind w:start="0"/>
              <w:contextualSpacing/>
              <w:rPr>
                <w:rFonts w:hint="eastAsia"/>
              </w:rPr>
            </w:pPr>
            <w:r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3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before="0" w:after="0"/>
              <w:ind w:start="0"/>
              <w:contextualSpacing/>
              <w:jc w:val="center"/>
              <w:rPr>
                <w:rFonts w:ascii="Corbel" w:hAnsi="Corbel" w:hint="eastAsia"/>
              </w:rPr>
            </w:pPr>
            <w:r>
              <w:rPr>
                <w:rFonts w:ascii="Corbel" w:hAnsi="Corbel"/>
              </w:rPr>
              <w:t>23</w:t>
            </w:r>
          </w:p>
        </w:tc>
      </w:tr>
      <w:tr>
        <w:trPr/>
        <w:tc>
          <w:tcPr>
            <w:tcW w:w="69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before="0" w:after="0"/>
              <w:ind w:start="0"/>
              <w:contextualSpacing/>
              <w:rPr>
                <w:rFonts w:hint="eastAsia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>
            <w:pPr>
              <w:pStyle w:val="ListParagraph"/>
              <w:spacing w:before="0" w:after="0"/>
              <w:ind w:start="0"/>
              <w:contextualSpacing/>
              <w:rPr>
                <w:rFonts w:hint="eastAsia"/>
              </w:rPr>
            </w:pPr>
            <w:r>
              <w:rPr>
                <w:rFonts w:ascii="Corbel" w:hAnsi="Corbel"/>
              </w:rPr>
              <w:t>(udział egzaminie)</w:t>
            </w:r>
          </w:p>
        </w:tc>
        <w:tc>
          <w:tcPr>
            <w:tcW w:w="3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before="0" w:after="0"/>
              <w:ind w:start="0"/>
              <w:contextualSpacing/>
              <w:jc w:val="center"/>
              <w:rPr>
                <w:rFonts w:ascii="Corbel" w:hAnsi="Corbel" w:hint="eastAsia"/>
              </w:rPr>
            </w:pPr>
            <w:r>
              <w:rPr>
                <w:rFonts w:ascii="Corbel" w:hAnsi="Corbel"/>
              </w:rPr>
              <w:t>10</w:t>
            </w:r>
          </w:p>
        </w:tc>
      </w:tr>
      <w:tr>
        <w:trPr/>
        <w:tc>
          <w:tcPr>
            <w:tcW w:w="69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- praca własna studenta</w:t>
            </w:r>
          </w:p>
          <w:p>
            <w:pPr>
              <w:pStyle w:val="ListParagraph"/>
              <w:numPr>
                <w:ilvl w:val="0"/>
                <w:numId w:val="6"/>
              </w:numPr>
              <w:spacing w:before="0" w:after="0"/>
              <w:contextualSpacing/>
              <w:textAlignment w:val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</w:t>
            </w:r>
          </w:p>
          <w:p>
            <w:pPr>
              <w:pStyle w:val="ListParagraph"/>
              <w:numPr>
                <w:ilvl w:val="0"/>
                <w:numId w:val="6"/>
              </w:numPr>
              <w:spacing w:before="0" w:after="0"/>
              <w:contextualSpacing/>
              <w:textAlignment w:val="auto"/>
              <w:rPr>
                <w:rFonts w:hint="eastAsia"/>
              </w:rPr>
            </w:pPr>
            <w:r>
              <w:rPr>
                <w:rFonts w:ascii="Corbel" w:hAnsi="Corbel"/>
              </w:rPr>
              <w:t>przygotowanie projektu badań jakościowych – opracowanie koncepcji, realizacja projektu, prezentacja wyników</w:t>
            </w:r>
          </w:p>
        </w:tc>
        <w:tc>
          <w:tcPr>
            <w:tcW w:w="3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  <w:p>
            <w:pPr>
              <w:pStyle w:val="ListParagraph"/>
              <w:spacing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67</w:t>
            </w:r>
          </w:p>
          <w:p>
            <w:pPr>
              <w:pStyle w:val="ListParagraph"/>
              <w:spacing w:before="0" w:after="0"/>
              <w:ind w:start="0"/>
              <w:contextualSpacing/>
              <w:jc w:val="center"/>
              <w:rPr>
                <w:rFonts w:ascii="Corbel" w:hAnsi="Corbel" w:hint="eastAsia"/>
              </w:rPr>
            </w:pPr>
            <w:r>
              <w:rPr>
                <w:rFonts w:hint="eastAsia" w:ascii="Corbel" w:hAnsi="Corbel"/>
              </w:rPr>
            </w:r>
          </w:p>
        </w:tc>
      </w:tr>
      <w:tr>
        <w:trPr/>
        <w:tc>
          <w:tcPr>
            <w:tcW w:w="69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before="0" w:after="0"/>
              <w:ind w:start="0"/>
              <w:contextualSpacing/>
              <w:rPr>
                <w:rFonts w:hint="eastAsia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3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before="0" w:after="0"/>
              <w:ind w:start="0"/>
              <w:contextualSpacing/>
              <w:jc w:val="center"/>
              <w:rPr>
                <w:rFonts w:ascii="Corbel" w:hAnsi="Corbel" w:hint="eastAsia"/>
              </w:rPr>
            </w:pPr>
            <w:r>
              <w:rPr>
                <w:rFonts w:ascii="Corbel" w:hAnsi="Corbel"/>
              </w:rPr>
              <w:t>100</w:t>
            </w:r>
          </w:p>
        </w:tc>
      </w:tr>
      <w:tr>
        <w:trPr/>
        <w:tc>
          <w:tcPr>
            <w:tcW w:w="69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before="0" w:after="0"/>
              <w:ind w:start="0"/>
              <w:contextualSpacing/>
              <w:rPr>
                <w:rFonts w:hint="eastAsia"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before="0" w:after="0"/>
              <w:ind w:start="0"/>
              <w:contextualSpacing/>
              <w:jc w:val="center"/>
              <w:rPr>
                <w:rFonts w:ascii="Corbel" w:hAnsi="Corbel" w:hint="eastAsia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>
      <w:pPr>
        <w:pStyle w:val="Punktygwne"/>
        <w:spacing w:before="0" w:after="0"/>
        <w:rPr/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/>
      </w:pPr>
      <w:r>
        <w:rPr>
          <w:rFonts w:ascii="Corbel" w:hAnsi="Corbel"/>
          <w:caps w:val="false"/>
          <w:smallCaps w:val="false"/>
          <w:szCs w:val="24"/>
        </w:rPr>
        <w:t>7. LITERATURA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9990" w:type="dxa"/>
        <w:jc w:val="start"/>
        <w:tblInd w:w="-17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990"/>
      </w:tblGrid>
      <w:tr>
        <w:trPr>
          <w:trHeight w:val="397" w:hRule="atLeast"/>
        </w:trPr>
        <w:tc>
          <w:tcPr>
            <w:tcW w:w="99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podstawowa: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0" w:after="0"/>
              <w:contextualSpacing/>
              <w:rPr>
                <w:rFonts w:hint="eastAsia"/>
              </w:rPr>
            </w:pPr>
            <w:r>
              <w:rPr>
                <w:rFonts w:eastAsia="Times New Roman" w:ascii="Corbel" w:hAnsi="Corbel"/>
                <w:lang w:eastAsia="pl-PL"/>
              </w:rPr>
              <w:t>Flick U. (2011). Projektowanie badania jakościowego. Przekł. P. Tomanek. Warszawa: PWN.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0" w:after="0"/>
              <w:contextualSpacing/>
              <w:rPr>
                <w:rFonts w:hint="eastAsia"/>
              </w:rPr>
            </w:pPr>
            <w:r>
              <w:rPr>
                <w:rFonts w:eastAsia="Times New Roman" w:ascii="Corbel" w:hAnsi="Corbel"/>
                <w:lang w:eastAsia="pl-PL"/>
              </w:rPr>
              <w:t>Jemielniak D. (red.). 2012. Badania jakościowe. Metody i narzędzia. Tom 1 i 2. Warszawa: PWN.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0" w:after="0"/>
              <w:contextualSpacing/>
              <w:rPr>
                <w:rFonts w:hint="eastAsia"/>
              </w:rPr>
            </w:pPr>
            <w:r>
              <w:rPr>
                <w:rFonts w:eastAsia="Times New Roman" w:ascii="Corbel" w:hAnsi="Corbel"/>
                <w:lang w:eastAsia="pl-PL"/>
              </w:rPr>
              <w:t>Kawecki I. (2018). Szkice z metodologii jakościowych badań edukacyjnych, Rzeszów: UR.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0" w:after="0"/>
              <w:contextualSpacing/>
              <w:rPr>
                <w:rFonts w:hint="eastAsia"/>
              </w:rPr>
            </w:pPr>
            <w:r>
              <w:rPr>
                <w:rFonts w:eastAsia="Times New Roman" w:ascii="Corbel" w:hAnsi="Corbel"/>
                <w:lang w:eastAsia="pl-PL"/>
              </w:rPr>
              <w:t>Creswell J.W. (2013). Projektowanie badań naukowych, Kraków: UJ.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0" w:after="0"/>
              <w:contextualSpacing/>
              <w:rPr>
                <w:rFonts w:hint="eastAsia"/>
              </w:rPr>
            </w:pPr>
            <w:r>
              <w:rPr>
                <w:rFonts w:eastAsia="Times New Roman" w:ascii="Corbel" w:hAnsi="Corbel"/>
                <w:lang w:eastAsia="pl-PL"/>
              </w:rPr>
              <w:t>Babbie E.(2008). Podstawy badań społecznych. Warszawa: PWN.</w:t>
            </w:r>
          </w:p>
        </w:tc>
      </w:tr>
      <w:tr>
        <w:trPr>
          <w:trHeight w:val="397" w:hRule="atLeast"/>
        </w:trPr>
        <w:tc>
          <w:tcPr>
            <w:tcW w:w="99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uzupełniająca: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0" w:after="0"/>
              <w:contextualSpacing/>
              <w:rPr>
                <w:rFonts w:hint="eastAsia"/>
              </w:rPr>
            </w:pPr>
            <w:r>
              <w:rPr>
                <w:rFonts w:eastAsia="Times New Roman" w:ascii="Corbel" w:hAnsi="Corbel"/>
                <w:lang w:eastAsia="pl-PL"/>
              </w:rPr>
              <w:t>Barbour R. ( 2011), Badania fokusowe. Warszawa: PWN.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0" w:after="0"/>
              <w:contextualSpacing/>
              <w:rPr>
                <w:rFonts w:hint="eastAsia"/>
              </w:rPr>
            </w:pPr>
            <w:r>
              <w:rPr>
                <w:rFonts w:eastAsia="Times New Roman" w:ascii="Corbel" w:hAnsi="Corbel"/>
                <w:lang w:eastAsia="pl-PL"/>
              </w:rPr>
              <w:t>Hammerslay M. i Atkinson P. (2010). Metody badań terenowych. Poznań: Zysk i S-ka.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0" w:after="0"/>
              <w:contextualSpacing/>
              <w:rPr>
                <w:rFonts w:hint="eastAsia"/>
              </w:rPr>
            </w:pPr>
            <w:r>
              <w:rPr>
                <w:rFonts w:eastAsia="Times New Roman" w:ascii="Corbel" w:hAnsi="Corbel"/>
                <w:lang w:eastAsia="pl-PL"/>
              </w:rPr>
              <w:t>Od teorii do praktyki, D. Maison, A. Noga-Bogomilski (red.). Gdańsk: GWP.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0" w:after="0"/>
              <w:contextualSpacing/>
              <w:rPr>
                <w:rFonts w:hint="eastAsia"/>
              </w:rPr>
            </w:pPr>
            <w:r>
              <w:rPr>
                <w:rFonts w:eastAsia="Times New Roman" w:ascii="Corbel" w:hAnsi="Corbel"/>
                <w:lang w:eastAsia="pl-PL"/>
              </w:rPr>
              <w:t>Maison D. (2001). Zogniskowane wywiady grupowe. Jakościowa metoda badań marketingowych. Warszawa: PWN.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0" w:after="0"/>
              <w:contextualSpacing/>
              <w:rPr>
                <w:rFonts w:hint="eastAsia"/>
              </w:rPr>
            </w:pPr>
            <w:r>
              <w:rPr>
                <w:rFonts w:eastAsia="Times New Roman" w:ascii="Corbel" w:hAnsi="Corbel"/>
                <w:lang w:eastAsia="pl-PL"/>
              </w:rPr>
              <w:t>Charmaz K. (2013). Teoria ugruntowana. Praktyczny przewodnik po analizie jakościowej. Przekł. B. Komorowska. Warszawa: PWN.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0" w:after="0"/>
              <w:contextualSpacing/>
              <w:rPr>
                <w:rFonts w:hint="eastAsia"/>
              </w:rPr>
            </w:pPr>
            <w:r>
              <w:rPr>
                <w:rFonts w:eastAsia="Times New Roman" w:ascii="Corbel" w:hAnsi="Corbel"/>
                <w:lang w:eastAsia="pl-PL"/>
              </w:rPr>
              <w:t>Żurko M. (1995). O przydatności metody biograficznej. W: M. Straś – Romanowska (red.). Na tropach psychologii jako nauki humanistycznej. Warszawa – Wrocław: PWN.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0" w:after="0"/>
              <w:contextualSpacing/>
              <w:rPr>
                <w:rFonts w:hint="eastAsia"/>
              </w:rPr>
            </w:pPr>
            <w:r>
              <w:rPr>
                <w:rFonts w:eastAsia="Times New Roman" w:ascii="Corbel" w:hAnsi="Corbel"/>
                <w:lang w:eastAsia="pl-PL"/>
              </w:rPr>
              <w:t>Trzebiński J. (2008). Problematyka narracji we współczesnej psychologii. [W:] B. Janusz, K. Gdowska i B. de Barbaro (red.). Narracja. Teoria i praktyka. Kraków: UJ.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0" w:after="0"/>
              <w:contextualSpacing/>
              <w:rPr>
                <w:rFonts w:hint="eastAsia"/>
              </w:rPr>
            </w:pPr>
            <w:r>
              <w:rPr>
                <w:rFonts w:eastAsia="Times New Roman" w:ascii="Corbel" w:hAnsi="Corbel"/>
                <w:lang w:eastAsia="pl-PL"/>
              </w:rPr>
              <w:t>Paluchowski W. J. (2000). Metodologiczne problemy analizy treści a wykorzystanie komputerów w badaniach jakościowych. W: M. Straś-Romanowska (red.). Metody jakościowe w psychologii współczesnej. Wrocław: UW.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/>
      </w:pPr>
      <w:r>
        <w:rPr>
          <w:rFonts w:ascii="Corbel" w:hAnsi="Corbel"/>
          <w:b w:val="false"/>
          <w:caps w:val="false"/>
          <w:smallCaps w:val="false"/>
          <w:szCs w:val="24"/>
        </w:rPr>
        <w:t>Akceptacja Kierownika Jednostki lub osoby upoważnionej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 Display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Corbel">
    <w:charset w:val="ee" w:characterSet="windows-1250"/>
    <w:family w:val="swiss"/>
    <w:pitch w:val="variable"/>
  </w:font>
  <w:font w:name="TimesNewRomanPSMT">
    <w:charset w:val="ee" w:characterSet="windows-1250"/>
    <w:family w:val="roman"/>
    <w:pitch w:val="variable"/>
  </w:font>
  <w:font w:name="Corbel">
    <w:altName w:val=" Corbel_EmbeddedFont"/>
    <w:charset w:val="ee" w:characterSet="windows-1250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."/>
      <w:lvlJc w:val="end"/>
      <w:pPr>
        <w:tabs>
          <w:tab w:val="num" w:pos="0"/>
        </w:tabs>
        <w:ind w:start="6120" w:hanging="18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."/>
      <w:lvlJc w:val="end"/>
      <w:pPr>
        <w:tabs>
          <w:tab w:val="num" w:pos="0"/>
        </w:tabs>
        <w:ind w:start="6480" w:hanging="180"/>
      </w:pPr>
      <w:rPr/>
    </w:lvl>
  </w:abstractNum>
  <w:abstractNum w:abstractNumId="4">
    <w:lvl w:ilvl="0">
      <w:numFmt w:val="bullet"/>
      <w:lvlText w:val="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0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."/>
      <w:lvlJc w:val="end"/>
      <w:pPr>
        <w:tabs>
          <w:tab w:val="num" w:pos="0"/>
        </w:tabs>
        <w:ind w:start="6120" w:hanging="180"/>
      </w:pPr>
      <w:rPr/>
    </w:lvl>
  </w:abstractNum>
  <w:abstractNum w:abstractNumId="6">
    <w:lvl w:ilvl="0">
      <w:numFmt w:val="bullet"/>
      <w:lvlText w:val="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0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5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spacing w:lineRule="auto" w:line="276" w:before="360" w:after="80"/>
      <w:textAlignment w:val="auto"/>
      <w:outlineLvl w:val="0"/>
    </w:pPr>
    <w:rPr>
      <w:rFonts w:ascii="Aptos Display" w:hAnsi="Aptos Display" w:eastAsia="Times New Roman" w:cs="Times New Roman"/>
      <w:color w:val="0F4761"/>
      <w:sz w:val="40"/>
      <w:szCs w:val="40"/>
      <w:lang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Pr>
      <w:rFonts w:ascii="Aptos Display" w:hAnsi="Aptos Display" w:eastAsia="Times New Roman" w:cs="Times New Roman"/>
      <w:color w:val="0F4761"/>
      <w:kern w:val="2"/>
      <w:sz w:val="40"/>
      <w:szCs w:val="40"/>
      <w:lang w:eastAsia="en-US" w:bidi="ar-SA"/>
    </w:rPr>
  </w:style>
  <w:style w:type="character" w:styleId="CytatZnak" w:customStyle="1">
    <w:name w:val="Cytat Znak"/>
    <w:basedOn w:val="DefaultParagraphFont"/>
    <w:qFormat/>
    <w:rPr>
      <w:i/>
      <w:iCs/>
      <w:color w:val="404040"/>
    </w:rPr>
  </w:style>
  <w:style w:type="character" w:styleId="CytatZnak1" w:customStyle="1">
    <w:name w:val="Cytat Znak1"/>
    <w:basedOn w:val="DefaultParagraphFont"/>
    <w:qFormat/>
    <w:rPr>
      <w:rFonts w:cs="Mangal"/>
      <w:i/>
      <w:iCs/>
      <w:color w:val="404040"/>
      <w:szCs w:val="21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Punktygwne" w:customStyle="1">
    <w:name w:val="Punkty główne"/>
    <w:basedOn w:val="Standard"/>
    <w:qFormat/>
    <w:pPr>
      <w:spacing w:before="240" w:after="60"/>
    </w:pPr>
    <w:rPr>
      <w:rFonts w:ascii="Times New Roman" w:hAnsi="Times New Roman" w:eastAsia="Calibri" w:cs="Times New Roman"/>
      <w:b/>
      <w:smallCaps/>
      <w:kern w:val="0"/>
      <w:szCs w:val="22"/>
    </w:rPr>
  </w:style>
  <w:style w:type="paragraph" w:styleId="Pytania" w:customStyle="1">
    <w:name w:val="Pytania"/>
    <w:basedOn w:val="Textbody"/>
    <w:qFormat/>
    <w:pPr>
      <w:tabs>
        <w:tab w:val="clear" w:pos="709"/>
        <w:tab w:val="left" w:pos="-5643" w:leader="none"/>
      </w:tabs>
      <w:overflowPunct w:val="true"/>
      <w:spacing w:lineRule="auto" w:line="240" w:before="40" w:after="40"/>
      <w:jc w:val="both"/>
    </w:pPr>
    <w:rPr>
      <w:rFonts w:ascii="Times New Roman" w:hAnsi="Times New Roman" w:eastAsia="Times New Roman" w:cs="Times New Roman"/>
      <w:kern w:val="0"/>
      <w:sz w:val="20"/>
      <w:szCs w:val="20"/>
      <w:lang w:eastAsia="pl-PL"/>
    </w:rPr>
  </w:style>
  <w:style w:type="paragraph" w:styleId="Odpowiedzi" w:customStyle="1">
    <w:name w:val="Odpowiedzi"/>
    <w:basedOn w:val="Standard"/>
    <w:qFormat/>
    <w:pPr>
      <w:spacing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</w:rPr>
  </w:style>
  <w:style w:type="paragraph" w:styleId="Podpunkty" w:customStyle="1">
    <w:name w:val="Podpunkty"/>
    <w:basedOn w:val="Textbody"/>
    <w:qFormat/>
    <w:pPr>
      <w:tabs>
        <w:tab w:val="clear" w:pos="709"/>
        <w:tab w:val="left" w:pos="-5454" w:leader="none"/>
      </w:tabs>
      <w:overflowPunct w:val="true"/>
      <w:spacing w:lineRule="auto" w:line="240" w:before="0" w:after="0"/>
      <w:ind w:start="360"/>
      <w:jc w:val="both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</w:rPr>
  </w:style>
  <w:style w:type="paragraph" w:styleId="Nagwkitablic" w:customStyle="1">
    <w:name w:val="Nagłówki tablic"/>
    <w:basedOn w:val="Textbody"/>
    <w:qFormat/>
    <w:pPr/>
    <w:rPr>
      <w:rFonts w:ascii="Times New Roman" w:hAnsi="Times New Roman" w:eastAsia="Calibri" w:cs="Times New Roman"/>
      <w:kern w:val="0"/>
      <w:szCs w:val="22"/>
    </w:rPr>
  </w:style>
  <w:style w:type="paragraph" w:styleId="ListParagraph">
    <w:name w:val="List Paragraph"/>
    <w:basedOn w:val="Standard"/>
    <w:qFormat/>
    <w:pPr>
      <w:spacing w:before="0" w:after="160"/>
      <w:ind w:start="720"/>
      <w:contextualSpacing/>
    </w:pPr>
    <w:rPr/>
  </w:style>
  <w:style w:type="paragraph" w:styleId="Zawartotabeli" w:customStyle="1">
    <w:name w:val="Zawartość tabeli"/>
    <w:basedOn w:val="Standard"/>
    <w:qFormat/>
    <w:pPr>
      <w:widowControl w:val="false"/>
      <w:suppressLineNumbers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Quote">
    <w:name w:val="Quote"/>
    <w:basedOn w:val="Normal"/>
    <w:next w:val="Normal"/>
    <w:qFormat/>
    <w:pPr>
      <w:spacing w:lineRule="auto" w:line="276" w:before="160" w:after="160"/>
      <w:jc w:val="center"/>
      <w:textAlignment w:val="auto"/>
    </w:pPr>
    <w:rPr>
      <w:i/>
      <w:iCs/>
      <w:color w:val="40404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050F67-D73F-431C-8990-F7F1CF2FBBD2}"/>
</file>

<file path=customXml/itemProps2.xml><?xml version="1.0" encoding="utf-8"?>
<ds:datastoreItem xmlns:ds="http://schemas.openxmlformats.org/officeDocument/2006/customXml" ds:itemID="{622FD310-C1C0-4807-A26D-1AA8F927B501}"/>
</file>

<file path=customXml/itemProps3.xml><?xml version="1.0" encoding="utf-8"?>
<ds:datastoreItem xmlns:ds="http://schemas.openxmlformats.org/officeDocument/2006/customXml" ds:itemID="{5DCB7052-BFAE-4DD3-8D73-B947D3E1A8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LibreOffice/25.8.3.2$Windows_x86 LibreOffice_project/8ca8d55c161d602844f5428fa4b58097424e324e</Application>
  <AppVersion>15.0000</AppVersion>
  <Pages>6</Pages>
  <Words>1697</Words>
  <Characters>11772</Characters>
  <CharactersWithSpaces>13217</CharactersWithSpaces>
  <Paragraphs>263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</dc:creator>
  <dc:description/>
  <cp:lastModifiedBy/>
  <cp:revision>8</cp:revision>
  <dcterms:created xsi:type="dcterms:W3CDTF">2026-02-19T17:23:00Z</dcterms:created>
  <dcterms:modified xsi:type="dcterms:W3CDTF">2026-03-01T14:16:38Z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